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7528C" w14:textId="75729773" w:rsidR="000C0A48" w:rsidRPr="00672B94" w:rsidRDefault="000C0A48" w:rsidP="000C0A48">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3957DB">
        <w:rPr>
          <w:rFonts w:ascii="Arial" w:hAnsi="Arial" w:cs="Arial"/>
          <w:b/>
          <w:sz w:val="24"/>
          <w:lang w:val="de-DE"/>
        </w:rPr>
        <w:t>02198</w:t>
      </w:r>
    </w:p>
    <w:p w14:paraId="2BF6B7A7" w14:textId="77777777" w:rsidR="000C0A48" w:rsidRDefault="000C0A48" w:rsidP="000C0A48">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16DEFA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0A48">
        <w:rPr>
          <w:rFonts w:ascii="Arial" w:eastAsia="Malgun Gothic" w:hAnsi="Arial" w:cs="Arial"/>
          <w:b/>
          <w:sz w:val="24"/>
          <w:lang w:val="en-US" w:eastAsia="ko-KR"/>
        </w:rPr>
        <w:t>On</w:t>
      </w:r>
      <w:r w:rsidR="003957DB">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 xml:space="preserve">Beam </w:t>
      </w:r>
      <w:r w:rsidR="003957DB">
        <w:rPr>
          <w:rFonts w:ascii="Arial" w:eastAsia="Malgun Gothic" w:hAnsi="Arial" w:cs="Arial"/>
          <w:b/>
          <w:sz w:val="24"/>
          <w:lang w:val="en-US" w:eastAsia="ko-KR"/>
        </w:rPr>
        <w:t>Correspondence</w:t>
      </w:r>
    </w:p>
    <w:p w14:paraId="6E52CD3F" w14:textId="6B6C0C9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63807">
        <w:rPr>
          <w:rFonts w:ascii="Arial" w:hAnsi="Arial" w:cs="Arial"/>
          <w:b/>
          <w:sz w:val="24"/>
          <w:lang w:val="en-US"/>
        </w:rPr>
        <w:t>8.1.2.2.</w:t>
      </w:r>
      <w:r w:rsidR="003957DB">
        <w:rPr>
          <w:rFonts w:ascii="Arial" w:hAnsi="Arial" w:cs="Arial"/>
          <w:b/>
          <w:sz w:val="24"/>
          <w:lang w:val="en-US"/>
        </w:rPr>
        <w:t>2</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523C1E" w14:textId="48569E4C" w:rsidR="00D63807" w:rsidRDefault="00D63807" w:rsidP="00026770">
      <w:pPr>
        <w:ind w:firstLine="284"/>
        <w:jc w:val="both"/>
        <w:rPr>
          <w:sz w:val="22"/>
          <w:szCs w:val="22"/>
          <w:lang w:eastAsia="zh-CN"/>
        </w:rPr>
      </w:pPr>
      <w:r>
        <w:rPr>
          <w:sz w:val="22"/>
          <w:szCs w:val="22"/>
          <w:lang w:eastAsia="zh-CN"/>
        </w:rPr>
        <w:t xml:space="preserve">In </w:t>
      </w:r>
      <w:r w:rsidR="003957DB">
        <w:rPr>
          <w:sz w:val="22"/>
          <w:szCs w:val="22"/>
          <w:lang w:eastAsia="zh-CN"/>
        </w:rPr>
        <w:t>RAN1 NR Ad-Hoc meeting, some agreements on beam correspondence have been achieved as follows: [1]</w:t>
      </w:r>
    </w:p>
    <w:p w14:paraId="0770D5F1" w14:textId="77777777" w:rsidR="003957DB" w:rsidRPr="003957DB" w:rsidRDefault="003957DB" w:rsidP="003957DB">
      <w:pPr>
        <w:numPr>
          <w:ilvl w:val="0"/>
          <w:numId w:val="29"/>
        </w:numPr>
        <w:overflowPunct/>
        <w:autoSpaceDE/>
        <w:autoSpaceDN/>
        <w:adjustRightInd/>
        <w:spacing w:after="0"/>
        <w:textAlignment w:val="auto"/>
        <w:rPr>
          <w:rFonts w:eastAsia="MS Mincho"/>
          <w:i/>
          <w:sz w:val="22"/>
          <w:szCs w:val="22"/>
          <w:lang w:val="en-US" w:eastAsia="ja-JP"/>
        </w:rPr>
      </w:pPr>
      <w:r w:rsidRPr="003957DB">
        <w:rPr>
          <w:rFonts w:eastAsia="MS Mincho"/>
          <w:i/>
          <w:sz w:val="22"/>
          <w:szCs w:val="22"/>
          <w:lang w:val="en-US" w:eastAsia="ja-JP"/>
        </w:rPr>
        <w:t>Support capability indication of UE beam correspondence related information to TRP</w:t>
      </w:r>
    </w:p>
    <w:p w14:paraId="75251B1B" w14:textId="56E1A242" w:rsidR="00D21AD7" w:rsidRDefault="003957DB" w:rsidP="00D21AD7">
      <w:pPr>
        <w:numPr>
          <w:ilvl w:val="1"/>
          <w:numId w:val="29"/>
        </w:numPr>
        <w:overflowPunct/>
        <w:autoSpaceDE/>
        <w:autoSpaceDN/>
        <w:adjustRightInd/>
        <w:spacing w:after="0"/>
        <w:textAlignment w:val="auto"/>
        <w:rPr>
          <w:rFonts w:eastAsia="MS Mincho"/>
          <w:i/>
          <w:sz w:val="22"/>
          <w:szCs w:val="22"/>
          <w:lang w:val="en-US" w:eastAsia="ja-JP"/>
        </w:rPr>
      </w:pPr>
      <w:r w:rsidRPr="003957DB">
        <w:rPr>
          <w:rFonts w:eastAsia="MS Mincho"/>
          <w:i/>
          <w:sz w:val="22"/>
          <w:szCs w:val="22"/>
          <w:lang w:val="en-US" w:eastAsia="ja-JP"/>
        </w:rPr>
        <w:t>FFS details including capability definition,  case(s) (if any) when the indication is not necessary</w:t>
      </w:r>
    </w:p>
    <w:p w14:paraId="7C13E089" w14:textId="77777777" w:rsidR="00D21AD7" w:rsidRPr="00D21AD7" w:rsidRDefault="00D21AD7" w:rsidP="00D21AD7">
      <w:pPr>
        <w:numPr>
          <w:ilvl w:val="0"/>
          <w:numId w:val="29"/>
        </w:numPr>
        <w:overflowPunct/>
        <w:autoSpaceDE/>
        <w:autoSpaceDN/>
        <w:adjustRightInd/>
        <w:spacing w:after="0"/>
        <w:textAlignment w:val="auto"/>
        <w:rPr>
          <w:rFonts w:eastAsia="MS Mincho"/>
          <w:i/>
          <w:sz w:val="22"/>
          <w:szCs w:val="22"/>
          <w:lang w:val="en-US" w:eastAsia="ja-JP"/>
        </w:rPr>
      </w:pPr>
      <w:r w:rsidRPr="00D21AD7">
        <w:rPr>
          <w:rFonts w:eastAsia="MS Mincho"/>
          <w:i/>
          <w:sz w:val="22"/>
          <w:szCs w:val="22"/>
          <w:lang w:val="en-US" w:eastAsia="ja-JP"/>
        </w:rPr>
        <w:t>For the definition of beam correspondence:</w:t>
      </w:r>
    </w:p>
    <w:p w14:paraId="2199D89D" w14:textId="77777777" w:rsidR="00D21AD7" w:rsidRPr="00D21AD7" w:rsidRDefault="00D21AD7" w:rsidP="00D21AD7">
      <w:pPr>
        <w:numPr>
          <w:ilvl w:val="1"/>
          <w:numId w:val="29"/>
        </w:numPr>
        <w:overflowPunct/>
        <w:autoSpaceDE/>
        <w:autoSpaceDN/>
        <w:adjustRightInd/>
        <w:spacing w:after="0"/>
        <w:textAlignment w:val="auto"/>
        <w:rPr>
          <w:rFonts w:eastAsia="MS Mincho"/>
          <w:i/>
          <w:sz w:val="22"/>
          <w:szCs w:val="22"/>
          <w:lang w:val="en-US" w:eastAsia="ja-JP"/>
        </w:rPr>
      </w:pPr>
      <w:r w:rsidRPr="00D21AD7">
        <w:rPr>
          <w:rFonts w:eastAsia="MS Mincho"/>
          <w:i/>
          <w:sz w:val="22"/>
          <w:szCs w:val="22"/>
          <w:lang w:val="en-US" w:eastAsia="ja-JP"/>
        </w:rPr>
        <w:t>Confirm the previous working assumption of the definition</w:t>
      </w:r>
    </w:p>
    <w:p w14:paraId="2617C7CB" w14:textId="77777777" w:rsidR="00D21AD7" w:rsidRPr="00D21AD7" w:rsidRDefault="00D21AD7" w:rsidP="00D21AD7">
      <w:pPr>
        <w:numPr>
          <w:ilvl w:val="2"/>
          <w:numId w:val="29"/>
        </w:numPr>
        <w:overflowPunct/>
        <w:autoSpaceDE/>
        <w:autoSpaceDN/>
        <w:adjustRightInd/>
        <w:spacing w:after="0"/>
        <w:textAlignment w:val="auto"/>
        <w:rPr>
          <w:rFonts w:eastAsia="MS Mincho"/>
          <w:i/>
          <w:sz w:val="22"/>
          <w:szCs w:val="22"/>
          <w:lang w:val="en-US" w:eastAsia="ja-JP"/>
        </w:rPr>
      </w:pPr>
      <w:r w:rsidRPr="00D21AD7">
        <w:rPr>
          <w:rFonts w:eastAsia="MS Mincho"/>
          <w:i/>
          <w:sz w:val="22"/>
          <w:szCs w:val="22"/>
          <w:lang w:val="en-US" w:eastAsia="ja-JP"/>
        </w:rPr>
        <w:t>Note: this definition/terminology is for convenience of discussion</w:t>
      </w:r>
    </w:p>
    <w:p w14:paraId="79587888" w14:textId="77777777" w:rsidR="00D21AD7" w:rsidRPr="00D21AD7" w:rsidRDefault="00D21AD7" w:rsidP="00D21AD7">
      <w:pPr>
        <w:numPr>
          <w:ilvl w:val="1"/>
          <w:numId w:val="29"/>
        </w:numPr>
        <w:overflowPunct/>
        <w:autoSpaceDE/>
        <w:autoSpaceDN/>
        <w:adjustRightInd/>
        <w:spacing w:after="0"/>
        <w:textAlignment w:val="auto"/>
        <w:rPr>
          <w:rFonts w:eastAsia="MS Mincho"/>
          <w:i/>
          <w:sz w:val="22"/>
          <w:szCs w:val="22"/>
          <w:lang w:val="en-US" w:eastAsia="ja-JP"/>
        </w:rPr>
      </w:pPr>
      <w:r w:rsidRPr="00D21AD7">
        <w:rPr>
          <w:rFonts w:eastAsia="MS Mincho"/>
          <w:i/>
          <w:sz w:val="22"/>
          <w:szCs w:val="22"/>
          <w:lang w:val="en-US" w:eastAsia="ja-JP"/>
        </w:rPr>
        <w:t>The detailed performance conditions are up to RAN4</w:t>
      </w:r>
    </w:p>
    <w:p w14:paraId="291A96B2" w14:textId="77777777" w:rsidR="00D21AD7" w:rsidRPr="00D21AD7" w:rsidRDefault="00D21AD7" w:rsidP="00D21AD7">
      <w:pPr>
        <w:overflowPunct/>
        <w:autoSpaceDE/>
        <w:autoSpaceDN/>
        <w:adjustRightInd/>
        <w:spacing w:after="0"/>
        <w:ind w:left="1440"/>
        <w:textAlignment w:val="auto"/>
        <w:rPr>
          <w:rFonts w:eastAsia="MS Mincho"/>
          <w:i/>
          <w:sz w:val="22"/>
          <w:szCs w:val="22"/>
          <w:lang w:val="en-US" w:eastAsia="ja-JP"/>
        </w:rPr>
      </w:pPr>
    </w:p>
    <w:p w14:paraId="0BD72C32" w14:textId="3A42B5AC" w:rsidR="00D21AD7" w:rsidRDefault="00D21AD7" w:rsidP="00026770">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#86 meeting, the definition of beam correspondence is as follows [2]:</w:t>
      </w:r>
    </w:p>
    <w:p w14:paraId="3B643006" w14:textId="77777777" w:rsidR="00D21AD7" w:rsidRPr="00D21AD7" w:rsidRDefault="00D21AD7" w:rsidP="00D21AD7">
      <w:pPr>
        <w:numPr>
          <w:ilvl w:val="0"/>
          <w:numId w:val="31"/>
        </w:numPr>
        <w:tabs>
          <w:tab w:val="num" w:pos="1080"/>
        </w:tabs>
        <w:overflowPunct/>
        <w:autoSpaceDE/>
        <w:autoSpaceDN/>
        <w:adjustRightInd/>
        <w:spacing w:after="0"/>
        <w:textAlignment w:val="auto"/>
        <w:rPr>
          <w:i/>
          <w:sz w:val="22"/>
          <w:szCs w:val="22"/>
          <w:lang w:val="en-US" w:eastAsia="ja-JP"/>
        </w:rPr>
      </w:pPr>
      <w:r w:rsidRPr="00D21AD7">
        <w:rPr>
          <w:i/>
          <w:sz w:val="22"/>
          <w:szCs w:val="22"/>
          <w:lang w:eastAsia="ja-JP"/>
        </w:rPr>
        <w:t xml:space="preserve">The followings are defined as </w:t>
      </w:r>
      <w:r w:rsidRPr="00D21AD7">
        <w:rPr>
          <w:i/>
          <w:sz w:val="22"/>
          <w:szCs w:val="22"/>
          <w:lang w:val="en-US" w:eastAsia="ja-JP"/>
        </w:rPr>
        <w:t xml:space="preserve">Tx/Rx </w:t>
      </w:r>
      <w:r w:rsidRPr="00D21AD7">
        <w:rPr>
          <w:i/>
          <w:sz w:val="22"/>
          <w:szCs w:val="22"/>
          <w:lang w:eastAsia="ja-JP"/>
        </w:rPr>
        <w:t>beam correspondence at TRP and UE :</w:t>
      </w:r>
    </w:p>
    <w:p w14:paraId="0D933A96" w14:textId="77777777" w:rsidR="00D21AD7" w:rsidRPr="00D21AD7" w:rsidRDefault="00D21AD7" w:rsidP="00D21AD7">
      <w:pPr>
        <w:numPr>
          <w:ilvl w:val="1"/>
          <w:numId w:val="31"/>
        </w:numPr>
        <w:overflowPunct/>
        <w:autoSpaceDE/>
        <w:autoSpaceDN/>
        <w:adjustRightInd/>
        <w:spacing w:after="0"/>
        <w:textAlignment w:val="auto"/>
        <w:rPr>
          <w:i/>
          <w:sz w:val="22"/>
          <w:szCs w:val="22"/>
          <w:lang w:val="en-US" w:eastAsia="ja-JP"/>
        </w:rPr>
      </w:pPr>
      <w:r w:rsidRPr="00D21AD7">
        <w:rPr>
          <w:bCs/>
          <w:i/>
          <w:sz w:val="22"/>
          <w:szCs w:val="22"/>
          <w:lang w:val="en-US" w:eastAsia="ja-JP"/>
        </w:rPr>
        <w:t xml:space="preserve">Tx/Rx beam </w:t>
      </w:r>
      <w:r w:rsidRPr="00D21AD7">
        <w:rPr>
          <w:i/>
          <w:sz w:val="22"/>
          <w:szCs w:val="22"/>
          <w:lang w:eastAsia="ja-JP"/>
        </w:rPr>
        <w:t xml:space="preserve">correspondence </w:t>
      </w:r>
      <w:r w:rsidRPr="00D21AD7">
        <w:rPr>
          <w:bCs/>
          <w:i/>
          <w:sz w:val="22"/>
          <w:szCs w:val="22"/>
          <w:lang w:val="en-US" w:eastAsia="ja-JP"/>
        </w:rPr>
        <w:t xml:space="preserve">at TRP holds </w:t>
      </w:r>
      <w:r w:rsidRPr="00D21AD7">
        <w:rPr>
          <w:i/>
          <w:sz w:val="22"/>
          <w:szCs w:val="22"/>
          <w:lang w:val="en-US" w:eastAsia="ja-JP"/>
        </w:rPr>
        <w:t>if at least one of the following is satisfied:</w:t>
      </w:r>
    </w:p>
    <w:p w14:paraId="643B4F40" w14:textId="77777777" w:rsidR="00D21AD7" w:rsidRPr="00D21AD7" w:rsidRDefault="00D21AD7" w:rsidP="00D21AD7">
      <w:pPr>
        <w:numPr>
          <w:ilvl w:val="2"/>
          <w:numId w:val="31"/>
        </w:numPr>
        <w:overflowPunct/>
        <w:autoSpaceDE/>
        <w:autoSpaceDN/>
        <w:adjustRightInd/>
        <w:spacing w:after="0"/>
        <w:textAlignment w:val="auto"/>
        <w:rPr>
          <w:i/>
          <w:sz w:val="22"/>
          <w:szCs w:val="22"/>
          <w:lang w:val="en-US" w:eastAsia="ja-JP"/>
        </w:rPr>
      </w:pPr>
      <w:r w:rsidRPr="00D21AD7">
        <w:rPr>
          <w:i/>
          <w:sz w:val="22"/>
          <w:szCs w:val="22"/>
          <w:lang w:val="en-US" w:eastAsia="ja-JP"/>
        </w:rPr>
        <w:t xml:space="preserve">TRP is able to determine a TRP Rx beam for the uplink reception based on UE’s downlink measurement on TRP’s one or more </w:t>
      </w:r>
      <w:proofErr w:type="gramStart"/>
      <w:r w:rsidRPr="00D21AD7">
        <w:rPr>
          <w:i/>
          <w:sz w:val="22"/>
          <w:szCs w:val="22"/>
          <w:lang w:val="en-US" w:eastAsia="ja-JP"/>
        </w:rPr>
        <w:t>Tx</w:t>
      </w:r>
      <w:proofErr w:type="gramEnd"/>
      <w:r w:rsidRPr="00D21AD7">
        <w:rPr>
          <w:i/>
          <w:sz w:val="22"/>
          <w:szCs w:val="22"/>
          <w:lang w:val="en-US" w:eastAsia="ja-JP"/>
        </w:rPr>
        <w:t xml:space="preserve"> beams.</w:t>
      </w:r>
    </w:p>
    <w:p w14:paraId="525C4462" w14:textId="77777777" w:rsidR="00D21AD7" w:rsidRPr="00D21AD7" w:rsidRDefault="00D21AD7" w:rsidP="00D21AD7">
      <w:pPr>
        <w:numPr>
          <w:ilvl w:val="2"/>
          <w:numId w:val="31"/>
        </w:numPr>
        <w:overflowPunct/>
        <w:autoSpaceDE/>
        <w:autoSpaceDN/>
        <w:adjustRightInd/>
        <w:spacing w:after="0"/>
        <w:textAlignment w:val="auto"/>
        <w:rPr>
          <w:i/>
          <w:sz w:val="22"/>
          <w:szCs w:val="22"/>
          <w:lang w:val="en-US" w:eastAsia="ja-JP"/>
        </w:rPr>
      </w:pPr>
      <w:r w:rsidRPr="00D21AD7">
        <w:rPr>
          <w:i/>
          <w:sz w:val="22"/>
          <w:szCs w:val="22"/>
          <w:lang w:eastAsia="ja-JP"/>
        </w:rPr>
        <w:t>TRP is able to determine a TRP Tx beam for the downlink transmission based on TRP’s uplink measurement on TRP’s one or more Rx beams</w:t>
      </w:r>
    </w:p>
    <w:p w14:paraId="38B8404A" w14:textId="77777777" w:rsidR="00D21AD7" w:rsidRPr="00D21AD7" w:rsidRDefault="00D21AD7" w:rsidP="00D21AD7">
      <w:pPr>
        <w:numPr>
          <w:ilvl w:val="1"/>
          <w:numId w:val="31"/>
        </w:numPr>
        <w:overflowPunct/>
        <w:autoSpaceDE/>
        <w:autoSpaceDN/>
        <w:adjustRightInd/>
        <w:spacing w:after="0"/>
        <w:textAlignment w:val="auto"/>
        <w:rPr>
          <w:i/>
          <w:sz w:val="22"/>
          <w:szCs w:val="22"/>
          <w:lang w:val="en-US" w:eastAsia="ja-JP"/>
        </w:rPr>
      </w:pPr>
      <w:r w:rsidRPr="00D21AD7">
        <w:rPr>
          <w:bCs/>
          <w:i/>
          <w:sz w:val="22"/>
          <w:szCs w:val="22"/>
          <w:lang w:val="en-US" w:eastAsia="ja-JP"/>
        </w:rPr>
        <w:t xml:space="preserve">Tx/Rx beam </w:t>
      </w:r>
      <w:r w:rsidRPr="00D21AD7">
        <w:rPr>
          <w:i/>
          <w:sz w:val="22"/>
          <w:szCs w:val="22"/>
          <w:lang w:eastAsia="ja-JP"/>
        </w:rPr>
        <w:t xml:space="preserve">correspondence </w:t>
      </w:r>
      <w:r w:rsidRPr="00D21AD7">
        <w:rPr>
          <w:bCs/>
          <w:i/>
          <w:sz w:val="22"/>
          <w:szCs w:val="22"/>
          <w:lang w:val="en-US" w:eastAsia="ja-JP"/>
        </w:rPr>
        <w:t xml:space="preserve">at UE holds </w:t>
      </w:r>
      <w:r w:rsidRPr="00D21AD7">
        <w:rPr>
          <w:i/>
          <w:sz w:val="22"/>
          <w:szCs w:val="22"/>
          <w:lang w:val="en-US" w:eastAsia="ja-JP"/>
        </w:rPr>
        <w:t xml:space="preserve">if at least one of the following is satisfied: </w:t>
      </w:r>
    </w:p>
    <w:p w14:paraId="0F8724D0" w14:textId="77777777" w:rsidR="00D21AD7" w:rsidRPr="00D21AD7" w:rsidRDefault="00D21AD7" w:rsidP="00D21AD7">
      <w:pPr>
        <w:numPr>
          <w:ilvl w:val="2"/>
          <w:numId w:val="31"/>
        </w:numPr>
        <w:overflowPunct/>
        <w:autoSpaceDE/>
        <w:autoSpaceDN/>
        <w:adjustRightInd/>
        <w:spacing w:after="0"/>
        <w:textAlignment w:val="auto"/>
        <w:rPr>
          <w:i/>
          <w:sz w:val="22"/>
          <w:szCs w:val="22"/>
          <w:lang w:val="en-US" w:eastAsia="ja-JP"/>
        </w:rPr>
      </w:pPr>
      <w:r w:rsidRPr="00D21AD7">
        <w:rPr>
          <w:i/>
          <w:sz w:val="22"/>
          <w:szCs w:val="22"/>
          <w:lang w:val="en-US" w:eastAsia="ja-JP"/>
        </w:rPr>
        <w:t xml:space="preserve">UE is able to determine a UE </w:t>
      </w:r>
      <w:proofErr w:type="gramStart"/>
      <w:r w:rsidRPr="00D21AD7">
        <w:rPr>
          <w:i/>
          <w:sz w:val="22"/>
          <w:szCs w:val="22"/>
          <w:lang w:val="en-US" w:eastAsia="ja-JP"/>
        </w:rPr>
        <w:t>Tx</w:t>
      </w:r>
      <w:proofErr w:type="gramEnd"/>
      <w:r w:rsidRPr="00D21AD7">
        <w:rPr>
          <w:i/>
          <w:sz w:val="22"/>
          <w:szCs w:val="22"/>
          <w:lang w:val="en-US" w:eastAsia="ja-JP"/>
        </w:rPr>
        <w:t xml:space="preserve"> beam for the uplink transmission based on UE’s downlink measurement on UE’s one or more Rx beams.</w:t>
      </w:r>
    </w:p>
    <w:p w14:paraId="4E9BEF71" w14:textId="77777777" w:rsidR="00D21AD7" w:rsidRPr="00D21AD7" w:rsidRDefault="00D21AD7" w:rsidP="00D21AD7">
      <w:pPr>
        <w:numPr>
          <w:ilvl w:val="2"/>
          <w:numId w:val="31"/>
        </w:numPr>
        <w:overflowPunct/>
        <w:autoSpaceDE/>
        <w:autoSpaceDN/>
        <w:adjustRightInd/>
        <w:spacing w:after="0"/>
        <w:textAlignment w:val="auto"/>
        <w:rPr>
          <w:i/>
          <w:sz w:val="22"/>
          <w:szCs w:val="22"/>
          <w:lang w:val="en-US" w:eastAsia="ja-JP"/>
        </w:rPr>
      </w:pPr>
      <w:r w:rsidRPr="00D21AD7">
        <w:rPr>
          <w:i/>
          <w:sz w:val="22"/>
          <w:szCs w:val="22"/>
          <w:lang w:eastAsia="ja-JP"/>
        </w:rPr>
        <w:t>UE is able to determine a</w:t>
      </w:r>
      <w:r w:rsidRPr="00D21AD7">
        <w:rPr>
          <w:i/>
          <w:sz w:val="22"/>
          <w:szCs w:val="22"/>
          <w:lang w:val="en-US" w:eastAsia="ja-JP"/>
        </w:rPr>
        <w:t xml:space="preserve"> </w:t>
      </w:r>
      <w:r w:rsidRPr="00D21AD7">
        <w:rPr>
          <w:i/>
          <w:sz w:val="22"/>
          <w:szCs w:val="22"/>
          <w:lang w:eastAsia="ja-JP"/>
        </w:rPr>
        <w:t xml:space="preserve">UE Rx beam for the downlink reception based on TRP’s indication based on uplink measurement on UE’s one or more </w:t>
      </w:r>
      <w:proofErr w:type="gramStart"/>
      <w:r w:rsidRPr="00D21AD7">
        <w:rPr>
          <w:i/>
          <w:sz w:val="22"/>
          <w:szCs w:val="22"/>
          <w:lang w:eastAsia="ja-JP"/>
        </w:rPr>
        <w:t>Tx</w:t>
      </w:r>
      <w:proofErr w:type="gramEnd"/>
      <w:r w:rsidRPr="00D21AD7">
        <w:rPr>
          <w:i/>
          <w:sz w:val="22"/>
          <w:szCs w:val="22"/>
          <w:lang w:eastAsia="ja-JP"/>
        </w:rPr>
        <w:t xml:space="preserve"> beams.</w:t>
      </w:r>
    </w:p>
    <w:p w14:paraId="2C40575C" w14:textId="4F3D9E83" w:rsidR="00D21AD7" w:rsidRPr="00D21AD7" w:rsidRDefault="00D21AD7" w:rsidP="00D21AD7">
      <w:pPr>
        <w:numPr>
          <w:ilvl w:val="1"/>
          <w:numId w:val="31"/>
        </w:numPr>
        <w:overflowPunct/>
        <w:autoSpaceDE/>
        <w:autoSpaceDN/>
        <w:adjustRightInd/>
        <w:spacing w:after="0"/>
        <w:textAlignment w:val="auto"/>
        <w:rPr>
          <w:i/>
          <w:sz w:val="22"/>
          <w:szCs w:val="22"/>
          <w:lang w:eastAsia="ja-JP"/>
        </w:rPr>
      </w:pPr>
      <w:r w:rsidRPr="00D21AD7">
        <w:rPr>
          <w:i/>
          <w:sz w:val="22"/>
          <w:szCs w:val="22"/>
          <w:lang w:eastAsia="ja-JP"/>
        </w:rPr>
        <w:t>More refined definition can still be discussed</w:t>
      </w:r>
    </w:p>
    <w:p w14:paraId="08519BD8" w14:textId="622C82E6" w:rsidR="004E4781" w:rsidRPr="000E1A44" w:rsidRDefault="003957DB" w:rsidP="00026770">
      <w:pPr>
        <w:ind w:firstLine="284"/>
        <w:jc w:val="both"/>
        <w:rPr>
          <w:sz w:val="22"/>
          <w:szCs w:val="22"/>
          <w:lang w:eastAsia="zh-CN"/>
        </w:rPr>
      </w:pPr>
      <w:r>
        <w:rPr>
          <w:sz w:val="22"/>
          <w:szCs w:val="22"/>
          <w:lang w:eastAsia="zh-CN"/>
        </w:rPr>
        <w:t>In this contribution, we will provide some discussions and our views on the capability reporting on UE beam correspondence</w:t>
      </w:r>
      <w:r w:rsidR="000E1A44" w:rsidRPr="00BE7392">
        <w:rPr>
          <w:sz w:val="22"/>
          <w:szCs w:val="22"/>
          <w:lang w:eastAsia="zh-CN"/>
        </w:rPr>
        <w:t>.</w:t>
      </w:r>
    </w:p>
    <w:p w14:paraId="5A60F5CD" w14:textId="279B1F91" w:rsidR="00332158" w:rsidRPr="00332158" w:rsidRDefault="00D63807" w:rsidP="00332158">
      <w:pPr>
        <w:pStyle w:val="Heading1"/>
        <w:numPr>
          <w:ilvl w:val="0"/>
          <w:numId w:val="5"/>
        </w:numPr>
        <w:pBdr>
          <w:top w:val="single" w:sz="12" w:space="4" w:color="auto"/>
        </w:pBdr>
        <w:rPr>
          <w:rFonts w:cs="Arial"/>
          <w:lang w:val="en-US"/>
        </w:rPr>
      </w:pPr>
      <w:r>
        <w:rPr>
          <w:rFonts w:cs="Arial"/>
          <w:lang w:val="en-US"/>
        </w:rPr>
        <w:t>Discussion</w:t>
      </w:r>
    </w:p>
    <w:p w14:paraId="2832F32E" w14:textId="22DA9D72" w:rsidR="00DF0664" w:rsidRPr="00DF0664" w:rsidRDefault="00DF0664" w:rsidP="00467B22">
      <w:pPr>
        <w:ind w:firstLine="284"/>
        <w:jc w:val="both"/>
        <w:rPr>
          <w:i/>
          <w:sz w:val="22"/>
          <w:szCs w:val="22"/>
          <w:u w:val="single"/>
          <w:lang w:val="en-US" w:eastAsia="zh-CN"/>
        </w:rPr>
      </w:pPr>
      <w:r w:rsidRPr="00DF0664">
        <w:rPr>
          <w:i/>
          <w:sz w:val="22"/>
          <w:szCs w:val="22"/>
          <w:u w:val="single"/>
          <w:lang w:val="en-US" w:eastAsia="zh-CN"/>
        </w:rPr>
        <w:t>C</w:t>
      </w:r>
      <w:r w:rsidRPr="00DF0664">
        <w:rPr>
          <w:rFonts w:hint="eastAsia"/>
          <w:i/>
          <w:sz w:val="22"/>
          <w:szCs w:val="22"/>
          <w:u w:val="single"/>
          <w:lang w:val="en-US" w:eastAsia="zh-CN"/>
        </w:rPr>
        <w:t xml:space="preserve">apability </w:t>
      </w:r>
      <w:r w:rsidR="000E5ACA">
        <w:rPr>
          <w:i/>
          <w:sz w:val="22"/>
          <w:szCs w:val="22"/>
          <w:u w:val="single"/>
          <w:lang w:val="en-US" w:eastAsia="zh-CN"/>
        </w:rPr>
        <w:t xml:space="preserve">of beam correspondence </w:t>
      </w:r>
      <w:r w:rsidRPr="00DF0664">
        <w:rPr>
          <w:i/>
          <w:sz w:val="22"/>
          <w:szCs w:val="22"/>
          <w:u w:val="single"/>
          <w:lang w:val="en-US" w:eastAsia="zh-CN"/>
        </w:rPr>
        <w:t>definition</w:t>
      </w:r>
    </w:p>
    <w:p w14:paraId="4D532C42" w14:textId="77777777" w:rsidR="00DF0664" w:rsidRDefault="00D21AD7" w:rsidP="00467B22">
      <w:pPr>
        <w:ind w:firstLine="284"/>
        <w:jc w:val="both"/>
        <w:rPr>
          <w:sz w:val="22"/>
          <w:szCs w:val="22"/>
          <w:lang w:val="en-US" w:eastAsia="zh-CN"/>
        </w:rPr>
      </w:pPr>
      <w:r>
        <w:rPr>
          <w:sz w:val="22"/>
          <w:szCs w:val="22"/>
          <w:lang w:val="en-US" w:eastAsia="zh-CN"/>
        </w:rPr>
        <w:t xml:space="preserve">In the NR system, the UE may have omni-directional antenna and/or directional antenna. The UE may have multiple directional antenna panels which are targeting to different directions. </w:t>
      </w:r>
      <w:r w:rsidR="00DF0664">
        <w:rPr>
          <w:sz w:val="22"/>
          <w:szCs w:val="22"/>
          <w:lang w:val="en-US" w:eastAsia="zh-CN"/>
        </w:rPr>
        <w:t xml:space="preserve">For example, the UE may have two opposite directional antenna panels. Then the analog beamforming may be utilized to the directional antenna to increase the link budget. If the beam correspondence can be assumed, the UE could determine the UL </w:t>
      </w:r>
      <w:proofErr w:type="gramStart"/>
      <w:r w:rsidR="00DF0664">
        <w:rPr>
          <w:sz w:val="22"/>
          <w:szCs w:val="22"/>
          <w:lang w:val="en-US" w:eastAsia="zh-CN"/>
        </w:rPr>
        <w:t>Tx</w:t>
      </w:r>
      <w:proofErr w:type="gramEnd"/>
      <w:r w:rsidR="00DF0664">
        <w:rPr>
          <w:sz w:val="22"/>
          <w:szCs w:val="22"/>
          <w:lang w:val="en-US" w:eastAsia="zh-CN"/>
        </w:rPr>
        <w:t xml:space="preserve"> beam based on current DL Rx beam without any UL Tx beam management procedures. Hence generally there can be the following</w:t>
      </w:r>
      <w:r>
        <w:rPr>
          <w:sz w:val="22"/>
          <w:szCs w:val="22"/>
          <w:lang w:val="en-US" w:eastAsia="zh-CN"/>
        </w:rPr>
        <w:t xml:space="preserve"> types of antenna structures</w:t>
      </w:r>
      <w:r w:rsidR="00DF0664">
        <w:rPr>
          <w:sz w:val="22"/>
          <w:szCs w:val="22"/>
          <w:lang w:val="en-US" w:eastAsia="zh-CN"/>
        </w:rPr>
        <w:t xml:space="preserve"> in the UE side</w:t>
      </w:r>
      <w:r>
        <w:rPr>
          <w:sz w:val="22"/>
          <w:szCs w:val="22"/>
          <w:lang w:val="en-US" w:eastAsia="zh-CN"/>
        </w:rPr>
        <w:t xml:space="preserve">. </w:t>
      </w:r>
    </w:p>
    <w:p w14:paraId="445D5790" w14:textId="7B9A6CAA" w:rsidR="00DF0664" w:rsidRPr="00DF0664" w:rsidRDefault="00DF0664" w:rsidP="00DF0664">
      <w:pPr>
        <w:pStyle w:val="ListParagraph"/>
        <w:numPr>
          <w:ilvl w:val="0"/>
          <w:numId w:val="32"/>
        </w:numPr>
        <w:jc w:val="both"/>
        <w:rPr>
          <w:lang w:eastAsia="zh-CN"/>
        </w:rPr>
      </w:pPr>
      <w:r>
        <w:rPr>
          <w:rFonts w:eastAsiaTheme="minorEastAsia"/>
          <w:lang w:eastAsia="zh-CN"/>
        </w:rPr>
        <w:t>T</w:t>
      </w:r>
      <w:r>
        <w:rPr>
          <w:rFonts w:eastAsiaTheme="minorEastAsia" w:hint="eastAsia"/>
          <w:lang w:eastAsia="zh-CN"/>
        </w:rPr>
        <w:t>yp</w:t>
      </w:r>
      <w:r>
        <w:rPr>
          <w:rFonts w:eastAsiaTheme="minorEastAsia"/>
          <w:lang w:eastAsia="zh-CN"/>
        </w:rPr>
        <w:t>e 1: omni-directional antenna only</w:t>
      </w:r>
    </w:p>
    <w:p w14:paraId="72DF4D03" w14:textId="4E5C044A" w:rsidR="00DF0664" w:rsidRPr="00DF0664" w:rsidRDefault="00DF0664" w:rsidP="00DF0664">
      <w:pPr>
        <w:pStyle w:val="ListParagraph"/>
        <w:numPr>
          <w:ilvl w:val="0"/>
          <w:numId w:val="32"/>
        </w:numPr>
        <w:jc w:val="both"/>
        <w:rPr>
          <w:lang w:eastAsia="zh-CN"/>
        </w:rPr>
      </w:pPr>
      <w:r>
        <w:rPr>
          <w:rFonts w:eastAsiaTheme="minorEastAsia"/>
          <w:lang w:eastAsia="zh-CN"/>
        </w:rPr>
        <w:t>Type 2: directional antenna only</w:t>
      </w:r>
    </w:p>
    <w:p w14:paraId="6E47AA45" w14:textId="0D387FBF" w:rsidR="00DF0664" w:rsidRPr="00DF0664" w:rsidRDefault="00DF0664" w:rsidP="00DF0664">
      <w:pPr>
        <w:pStyle w:val="ListParagraph"/>
        <w:numPr>
          <w:ilvl w:val="1"/>
          <w:numId w:val="32"/>
        </w:numPr>
        <w:jc w:val="both"/>
        <w:rPr>
          <w:rFonts w:hint="eastAsia"/>
          <w:lang w:eastAsia="zh-CN"/>
        </w:rPr>
      </w:pPr>
      <w:r>
        <w:rPr>
          <w:rFonts w:eastAsiaTheme="minorEastAsia" w:hint="eastAsia"/>
          <w:lang w:eastAsia="zh-CN"/>
        </w:rPr>
        <w:t xml:space="preserve">Type 2a: directional antenna with beam </w:t>
      </w:r>
      <w:r>
        <w:rPr>
          <w:rFonts w:eastAsiaTheme="minorEastAsia"/>
          <w:lang w:eastAsia="zh-CN"/>
        </w:rPr>
        <w:t>correspondence</w:t>
      </w:r>
    </w:p>
    <w:p w14:paraId="022245F8" w14:textId="72E317CF" w:rsidR="00DF0664" w:rsidRPr="00DF0664" w:rsidRDefault="00DF0664" w:rsidP="00DF0664">
      <w:pPr>
        <w:pStyle w:val="ListParagraph"/>
        <w:numPr>
          <w:ilvl w:val="1"/>
          <w:numId w:val="32"/>
        </w:numPr>
        <w:jc w:val="both"/>
        <w:rPr>
          <w:lang w:eastAsia="zh-CN"/>
        </w:rPr>
      </w:pPr>
      <w:r>
        <w:rPr>
          <w:rFonts w:eastAsiaTheme="minorEastAsia"/>
          <w:lang w:eastAsia="zh-CN"/>
        </w:rPr>
        <w:t>Type 2b: directional antenna without beam correspondence</w:t>
      </w:r>
    </w:p>
    <w:p w14:paraId="4B8971E4" w14:textId="1CCCDC92" w:rsidR="00DF0664" w:rsidRPr="00DF0664" w:rsidRDefault="00DF0664" w:rsidP="00DF0664">
      <w:pPr>
        <w:pStyle w:val="ListParagraph"/>
        <w:numPr>
          <w:ilvl w:val="0"/>
          <w:numId w:val="32"/>
        </w:numPr>
        <w:jc w:val="both"/>
        <w:rPr>
          <w:lang w:eastAsia="zh-CN"/>
        </w:rPr>
      </w:pPr>
      <w:r>
        <w:rPr>
          <w:rFonts w:eastAsiaTheme="minorEastAsia"/>
          <w:lang w:eastAsia="zh-CN"/>
        </w:rPr>
        <w:lastRenderedPageBreak/>
        <w:t>Type 3: omni-directional antenna and directional antenna</w:t>
      </w:r>
    </w:p>
    <w:p w14:paraId="064B962C" w14:textId="188852A5" w:rsidR="00DF0664" w:rsidRPr="00DF0664" w:rsidRDefault="00DF0664" w:rsidP="00DF0664">
      <w:pPr>
        <w:pStyle w:val="ListParagraph"/>
        <w:numPr>
          <w:ilvl w:val="1"/>
          <w:numId w:val="32"/>
        </w:numPr>
        <w:jc w:val="both"/>
        <w:rPr>
          <w:lang w:eastAsia="zh-CN"/>
        </w:rPr>
      </w:pPr>
      <w:r>
        <w:rPr>
          <w:rFonts w:eastAsiaTheme="minorEastAsia"/>
          <w:lang w:eastAsia="zh-CN"/>
        </w:rPr>
        <w:t>Type 3a: omni-directional antenna and directional antenna with beam correspondence</w:t>
      </w:r>
    </w:p>
    <w:p w14:paraId="6CF5C463" w14:textId="143D7087" w:rsidR="00DF0664" w:rsidRPr="00DF0664" w:rsidRDefault="00DF0664" w:rsidP="00DF0664">
      <w:pPr>
        <w:pStyle w:val="ListParagraph"/>
        <w:numPr>
          <w:ilvl w:val="1"/>
          <w:numId w:val="32"/>
        </w:numPr>
        <w:jc w:val="both"/>
        <w:rPr>
          <w:lang w:eastAsia="zh-CN"/>
        </w:rPr>
      </w:pPr>
      <w:r>
        <w:rPr>
          <w:rFonts w:eastAsiaTheme="minorEastAsia"/>
          <w:lang w:eastAsia="zh-CN"/>
        </w:rPr>
        <w:t>Typ</w:t>
      </w:r>
      <w:r>
        <w:rPr>
          <w:rFonts w:eastAsiaTheme="minorEastAsia"/>
          <w:lang w:eastAsia="zh-CN"/>
        </w:rPr>
        <w:t>e 3b</w:t>
      </w:r>
      <w:r>
        <w:rPr>
          <w:rFonts w:eastAsiaTheme="minorEastAsia"/>
          <w:lang w:eastAsia="zh-CN"/>
        </w:rPr>
        <w:t>: omni-directional antenna and directional antenna with</w:t>
      </w:r>
      <w:r>
        <w:rPr>
          <w:rFonts w:eastAsiaTheme="minorEastAsia"/>
          <w:lang w:eastAsia="zh-CN"/>
        </w:rPr>
        <w:t>out</w:t>
      </w:r>
      <w:r>
        <w:rPr>
          <w:rFonts w:eastAsiaTheme="minorEastAsia"/>
          <w:lang w:eastAsia="zh-CN"/>
        </w:rPr>
        <w:t xml:space="preserve"> beam correspondence</w:t>
      </w:r>
    </w:p>
    <w:p w14:paraId="141296E1" w14:textId="13629733" w:rsidR="00DF0664" w:rsidRDefault="000E5ACA" w:rsidP="00467B22">
      <w:pPr>
        <w:ind w:firstLine="284"/>
        <w:jc w:val="both"/>
        <w:rPr>
          <w:sz w:val="22"/>
          <w:szCs w:val="22"/>
          <w:lang w:val="en-US" w:eastAsia="zh-CN"/>
        </w:rPr>
      </w:pPr>
      <w:r>
        <w:rPr>
          <w:sz w:val="22"/>
          <w:szCs w:val="22"/>
          <w:lang w:val="en-US" w:eastAsia="zh-CN"/>
        </w:rPr>
        <w:t>For omni-directional antenna, there could be no analog beamforming. For directional antenna panel, it could have the ability of beam correspondence or not. Hence for the UE with omni-directional antenna and directional antenna without beam correspondence, it is not easy to directly report whether the UE supports beam correspondence or not. H</w:t>
      </w:r>
      <w:r>
        <w:rPr>
          <w:rFonts w:hint="eastAsia"/>
          <w:sz w:val="22"/>
          <w:szCs w:val="22"/>
          <w:lang w:val="en-US" w:eastAsia="zh-CN"/>
        </w:rPr>
        <w:t xml:space="preserve">ence </w:t>
      </w:r>
      <w:r>
        <w:rPr>
          <w:sz w:val="22"/>
          <w:szCs w:val="22"/>
          <w:lang w:val="en-US" w:eastAsia="zh-CN"/>
        </w:rPr>
        <w:t>when reporting the capability of beam correspondence, the UE’s antenna structure should be taken into account.</w:t>
      </w:r>
    </w:p>
    <w:p w14:paraId="484F2930" w14:textId="546431E2" w:rsidR="000E5ACA" w:rsidRPr="000E5ACA" w:rsidRDefault="000E5ACA" w:rsidP="00467B22">
      <w:pPr>
        <w:ind w:firstLine="284"/>
        <w:jc w:val="both"/>
        <w:rPr>
          <w:b/>
          <w:i/>
          <w:sz w:val="22"/>
          <w:szCs w:val="22"/>
          <w:lang w:val="en-US" w:eastAsia="zh-CN"/>
        </w:rPr>
      </w:pPr>
      <w:r w:rsidRPr="000E5ACA">
        <w:rPr>
          <w:b/>
          <w:i/>
          <w:sz w:val="22"/>
          <w:szCs w:val="22"/>
          <w:lang w:val="en-US" w:eastAsia="zh-CN"/>
        </w:rPr>
        <w:t>Proposal 1: the UE’s antenna structure should be taken into account when reporting the capability of beam correspondence.</w:t>
      </w:r>
    </w:p>
    <w:p w14:paraId="37D6D8EF" w14:textId="3F163FF5" w:rsidR="000E5ACA" w:rsidRPr="000E5ACA" w:rsidRDefault="000E5ACA" w:rsidP="00467B22">
      <w:pPr>
        <w:ind w:firstLine="284"/>
        <w:jc w:val="both"/>
        <w:rPr>
          <w:i/>
          <w:sz w:val="22"/>
          <w:szCs w:val="22"/>
          <w:u w:val="single"/>
          <w:lang w:val="en-US" w:eastAsia="zh-CN"/>
        </w:rPr>
      </w:pPr>
      <w:r w:rsidRPr="000E5ACA">
        <w:rPr>
          <w:i/>
          <w:sz w:val="22"/>
          <w:szCs w:val="22"/>
          <w:u w:val="single"/>
          <w:lang w:val="en-US" w:eastAsia="zh-CN"/>
        </w:rPr>
        <w:t>R</w:t>
      </w:r>
      <w:r w:rsidRPr="000E5ACA">
        <w:rPr>
          <w:rFonts w:hint="eastAsia"/>
          <w:i/>
          <w:sz w:val="22"/>
          <w:szCs w:val="22"/>
          <w:u w:val="single"/>
          <w:lang w:val="en-US" w:eastAsia="zh-CN"/>
        </w:rPr>
        <w:t xml:space="preserve">eporting </w:t>
      </w:r>
      <w:r w:rsidRPr="000E5ACA">
        <w:rPr>
          <w:i/>
          <w:sz w:val="22"/>
          <w:szCs w:val="22"/>
          <w:u w:val="single"/>
          <w:lang w:val="en-US" w:eastAsia="zh-CN"/>
        </w:rPr>
        <w:t>of beam correspondence capability</w:t>
      </w:r>
    </w:p>
    <w:p w14:paraId="799C8379" w14:textId="77777777" w:rsidR="00715C29" w:rsidRDefault="00D63807" w:rsidP="00467B22">
      <w:pPr>
        <w:ind w:firstLine="284"/>
        <w:jc w:val="both"/>
        <w:rPr>
          <w:sz w:val="22"/>
          <w:szCs w:val="22"/>
          <w:lang w:val="en-US" w:eastAsia="zh-CN"/>
        </w:rPr>
      </w:pPr>
      <w:r>
        <w:rPr>
          <w:sz w:val="22"/>
          <w:szCs w:val="22"/>
          <w:lang w:val="en-US" w:eastAsia="zh-CN"/>
        </w:rPr>
        <w:t xml:space="preserve">For the UEs with beam correspondence, the UE </w:t>
      </w:r>
      <w:r w:rsidR="00715C29">
        <w:rPr>
          <w:sz w:val="22"/>
          <w:szCs w:val="22"/>
          <w:lang w:val="en-US" w:eastAsia="zh-CN"/>
        </w:rPr>
        <w:t>may</w:t>
      </w:r>
      <w:r>
        <w:rPr>
          <w:sz w:val="22"/>
          <w:szCs w:val="22"/>
          <w:lang w:val="en-US" w:eastAsia="zh-CN"/>
        </w:rPr>
        <w:t xml:space="preserve"> directly reuse the DL Rx beam to be the UL </w:t>
      </w:r>
      <w:proofErr w:type="gramStart"/>
      <w:r>
        <w:rPr>
          <w:sz w:val="22"/>
          <w:szCs w:val="22"/>
          <w:lang w:val="en-US" w:eastAsia="zh-CN"/>
        </w:rPr>
        <w:t>Tx</w:t>
      </w:r>
      <w:proofErr w:type="gramEnd"/>
      <w:r>
        <w:rPr>
          <w:sz w:val="22"/>
          <w:szCs w:val="22"/>
          <w:lang w:val="en-US" w:eastAsia="zh-CN"/>
        </w:rPr>
        <w:t xml:space="preserve"> beam. However for those without beam correspondence, some beam sweeping operation should be used to help the UE to determine the best UL </w:t>
      </w:r>
      <w:proofErr w:type="gramStart"/>
      <w:r>
        <w:rPr>
          <w:sz w:val="22"/>
          <w:szCs w:val="22"/>
          <w:lang w:val="en-US" w:eastAsia="zh-CN"/>
        </w:rPr>
        <w:t>Tx</w:t>
      </w:r>
      <w:proofErr w:type="gramEnd"/>
      <w:r>
        <w:rPr>
          <w:sz w:val="22"/>
          <w:szCs w:val="22"/>
          <w:lang w:val="en-US" w:eastAsia="zh-CN"/>
        </w:rPr>
        <w:t xml:space="preserve"> beam.</w:t>
      </w:r>
      <w:r w:rsidR="007B5C07">
        <w:rPr>
          <w:sz w:val="22"/>
          <w:szCs w:val="22"/>
          <w:lang w:val="en-US" w:eastAsia="zh-CN"/>
        </w:rPr>
        <w:t xml:space="preserve"> </w:t>
      </w:r>
      <w:r w:rsidR="00715C29">
        <w:rPr>
          <w:sz w:val="22"/>
          <w:szCs w:val="22"/>
          <w:lang w:val="en-US" w:eastAsia="zh-CN"/>
        </w:rPr>
        <w:t xml:space="preserve">Some UL beam management procedures could be simplified or skipped if the UE has the ability of beam correspondence. For UL beam management P-1, which can help to get the initial UL Tx-Rx beam pair, if the gNodeB could know that the beam correspondence could be assumed in UE side, it does not need to take the UL </w:t>
      </w:r>
      <w:proofErr w:type="gramStart"/>
      <w:r w:rsidR="00715C29">
        <w:rPr>
          <w:sz w:val="22"/>
          <w:szCs w:val="22"/>
          <w:lang w:val="en-US" w:eastAsia="zh-CN"/>
        </w:rPr>
        <w:t>Tx</w:t>
      </w:r>
      <w:proofErr w:type="gramEnd"/>
      <w:r w:rsidR="00715C29">
        <w:rPr>
          <w:sz w:val="22"/>
          <w:szCs w:val="22"/>
          <w:lang w:val="en-US" w:eastAsia="zh-CN"/>
        </w:rPr>
        <w:t xml:space="preserve"> beam for the initial access messages into account. Hence there can be the following options on when to report the UE beam correspondence capability.</w:t>
      </w:r>
    </w:p>
    <w:p w14:paraId="02D347CA" w14:textId="037C2DB1" w:rsidR="00715C29" w:rsidRPr="00FB098C" w:rsidRDefault="00715C29" w:rsidP="00715C29">
      <w:pPr>
        <w:pStyle w:val="ListParagraph"/>
        <w:numPr>
          <w:ilvl w:val="0"/>
          <w:numId w:val="33"/>
        </w:numPr>
        <w:jc w:val="both"/>
        <w:rPr>
          <w:lang w:eastAsia="zh-CN"/>
        </w:rPr>
      </w:pPr>
      <w:r>
        <w:rPr>
          <w:rFonts w:eastAsiaTheme="minorEastAsia" w:hint="eastAsia"/>
          <w:lang w:eastAsia="zh-CN"/>
        </w:rPr>
        <w:t xml:space="preserve">Option 1: reporting the UE beam correspondence </w:t>
      </w:r>
      <w:r w:rsidR="00FB098C">
        <w:rPr>
          <w:rFonts w:eastAsiaTheme="minorEastAsia"/>
          <w:lang w:eastAsia="zh-CN"/>
        </w:rPr>
        <w:t>in Msg1</w:t>
      </w:r>
    </w:p>
    <w:p w14:paraId="6AD4DF02" w14:textId="73327AC6" w:rsidR="00FB098C" w:rsidRDefault="00FB098C" w:rsidP="00715C29">
      <w:pPr>
        <w:pStyle w:val="ListParagraph"/>
        <w:numPr>
          <w:ilvl w:val="0"/>
          <w:numId w:val="33"/>
        </w:numPr>
        <w:jc w:val="both"/>
        <w:rPr>
          <w:lang w:eastAsia="zh-CN"/>
        </w:rPr>
      </w:pPr>
      <w:r>
        <w:rPr>
          <w:lang w:eastAsia="zh-CN"/>
        </w:rPr>
        <w:t>Option 2: reporting the UE beam correspondence in Msg3</w:t>
      </w:r>
    </w:p>
    <w:p w14:paraId="0888625F" w14:textId="729CFAD5" w:rsidR="00FB098C" w:rsidRPr="00715C29" w:rsidRDefault="00FB098C" w:rsidP="00715C29">
      <w:pPr>
        <w:pStyle w:val="ListParagraph"/>
        <w:numPr>
          <w:ilvl w:val="0"/>
          <w:numId w:val="33"/>
        </w:numPr>
        <w:jc w:val="both"/>
        <w:rPr>
          <w:lang w:eastAsia="zh-CN"/>
        </w:rPr>
      </w:pPr>
      <w:r>
        <w:rPr>
          <w:lang w:eastAsia="zh-CN"/>
        </w:rPr>
        <w:t>Option 3: reporting the UE beam correspondence during UE capability reporting procedure</w:t>
      </w:r>
    </w:p>
    <w:p w14:paraId="38C9DA2C" w14:textId="78D7E7DB" w:rsidR="00F92FEC" w:rsidRDefault="00F92FEC" w:rsidP="00467B22">
      <w:pPr>
        <w:ind w:firstLine="284"/>
        <w:jc w:val="both"/>
        <w:rPr>
          <w:sz w:val="22"/>
          <w:szCs w:val="22"/>
          <w:lang w:val="en-US" w:eastAsia="zh-CN"/>
        </w:rPr>
      </w:pPr>
      <w:r>
        <w:rPr>
          <w:sz w:val="22"/>
          <w:szCs w:val="22"/>
          <w:lang w:val="en-US" w:eastAsia="zh-CN"/>
        </w:rPr>
        <w:t xml:space="preserve">For option 1, since the gNodeB could get the UE beam correspondence capability, it does not need to consider UE’s </w:t>
      </w:r>
      <w:proofErr w:type="gramStart"/>
      <w:r>
        <w:rPr>
          <w:sz w:val="22"/>
          <w:szCs w:val="22"/>
          <w:lang w:val="en-US" w:eastAsia="zh-CN"/>
        </w:rPr>
        <w:t>Tx</w:t>
      </w:r>
      <w:proofErr w:type="gramEnd"/>
      <w:r>
        <w:rPr>
          <w:sz w:val="22"/>
          <w:szCs w:val="22"/>
          <w:lang w:val="en-US" w:eastAsia="zh-CN"/>
        </w:rPr>
        <w:t xml:space="preserve"> beam for Msg3 and following messages for initial access</w:t>
      </w:r>
      <w:r w:rsidR="00CF288B">
        <w:rPr>
          <w:sz w:val="22"/>
          <w:szCs w:val="22"/>
          <w:lang w:val="en-US" w:eastAsia="zh-CN"/>
        </w:rPr>
        <w:t xml:space="preserve"> if the UE has the ability of beam correspondence; otherwise it may trigger the UL beam management P-3 to refine the UE’s Tx beam for the follow-up transmission. To transmit the UE beam correspondence in Msg1, one possible way is to utilize</w:t>
      </w:r>
      <w:r>
        <w:rPr>
          <w:sz w:val="22"/>
          <w:szCs w:val="22"/>
          <w:lang w:val="en-US" w:eastAsia="zh-CN"/>
        </w:rPr>
        <w:t xml:space="preserve"> </w:t>
      </w:r>
      <w:r w:rsidR="00CF288B">
        <w:rPr>
          <w:sz w:val="22"/>
          <w:szCs w:val="22"/>
          <w:lang w:val="en-US" w:eastAsia="zh-CN"/>
        </w:rPr>
        <w:t>t</w:t>
      </w:r>
      <w:r>
        <w:rPr>
          <w:sz w:val="22"/>
          <w:szCs w:val="22"/>
          <w:lang w:val="en-US" w:eastAsia="zh-CN"/>
        </w:rPr>
        <w:t xml:space="preserve">he preamble index of PRACH to carry </w:t>
      </w:r>
      <w:r w:rsidR="00CF288B">
        <w:rPr>
          <w:sz w:val="22"/>
          <w:szCs w:val="22"/>
          <w:lang w:val="en-US" w:eastAsia="zh-CN"/>
        </w:rPr>
        <w:t>such information</w:t>
      </w:r>
      <w:r>
        <w:rPr>
          <w:sz w:val="22"/>
          <w:szCs w:val="22"/>
          <w:lang w:val="en-US" w:eastAsia="zh-CN"/>
        </w:rPr>
        <w:t>.</w:t>
      </w:r>
      <w:r w:rsidR="00CF288B">
        <w:rPr>
          <w:sz w:val="22"/>
          <w:szCs w:val="22"/>
          <w:lang w:val="en-US" w:eastAsia="zh-CN"/>
        </w:rPr>
        <w:t xml:space="preserve"> For example, the preamble index can be divided into two groups: one is used for UE with beam correspondence; the other is used for the UE without beam correspondence.</w:t>
      </w:r>
      <w:r>
        <w:rPr>
          <w:sz w:val="22"/>
          <w:szCs w:val="22"/>
          <w:lang w:val="en-US" w:eastAsia="zh-CN"/>
        </w:rPr>
        <w:t xml:space="preserve"> </w:t>
      </w:r>
    </w:p>
    <w:p w14:paraId="5CB85EFC" w14:textId="4FB2B7A7" w:rsidR="00F92FEC" w:rsidRDefault="00F92FEC" w:rsidP="00467B22">
      <w:pPr>
        <w:ind w:firstLine="284"/>
        <w:jc w:val="both"/>
        <w:rPr>
          <w:sz w:val="22"/>
          <w:szCs w:val="22"/>
          <w:lang w:val="en-US" w:eastAsia="zh-CN"/>
        </w:rPr>
      </w:pPr>
      <w:r>
        <w:rPr>
          <w:sz w:val="22"/>
          <w:szCs w:val="22"/>
          <w:lang w:val="en-US" w:eastAsia="zh-CN"/>
        </w:rPr>
        <w:t xml:space="preserve">For option 2, the gNodeB could let the UE determine its </w:t>
      </w:r>
      <w:proofErr w:type="gramStart"/>
      <w:r>
        <w:rPr>
          <w:sz w:val="22"/>
          <w:szCs w:val="22"/>
          <w:lang w:val="en-US" w:eastAsia="zh-CN"/>
        </w:rPr>
        <w:t>Tx</w:t>
      </w:r>
      <w:proofErr w:type="gramEnd"/>
      <w:r>
        <w:rPr>
          <w:sz w:val="22"/>
          <w:szCs w:val="22"/>
          <w:lang w:val="en-US" w:eastAsia="zh-CN"/>
        </w:rPr>
        <w:t xml:space="preserve"> beam for Msg3. The UE may use the same </w:t>
      </w:r>
      <w:proofErr w:type="gramStart"/>
      <w:r>
        <w:rPr>
          <w:sz w:val="22"/>
          <w:szCs w:val="22"/>
          <w:lang w:val="en-US" w:eastAsia="zh-CN"/>
        </w:rPr>
        <w:t>Tx</w:t>
      </w:r>
      <w:proofErr w:type="gramEnd"/>
      <w:r>
        <w:rPr>
          <w:sz w:val="22"/>
          <w:szCs w:val="22"/>
          <w:lang w:val="en-US" w:eastAsia="zh-CN"/>
        </w:rPr>
        <w:t xml:space="preserve"> beam as Msg1 to transmit the Msg3. Then when the gNodeB receives the Msg3 with beam correspondence reporting, it could decide whether the UL beam management P-3 should be used to refine the UE </w:t>
      </w:r>
      <w:proofErr w:type="gramStart"/>
      <w:r>
        <w:rPr>
          <w:sz w:val="22"/>
          <w:szCs w:val="22"/>
          <w:lang w:val="en-US" w:eastAsia="zh-CN"/>
        </w:rPr>
        <w:t>Tx</w:t>
      </w:r>
      <w:proofErr w:type="gramEnd"/>
      <w:r>
        <w:rPr>
          <w:sz w:val="22"/>
          <w:szCs w:val="22"/>
          <w:lang w:val="en-US" w:eastAsia="zh-CN"/>
        </w:rPr>
        <w:t xml:space="preserve"> beam for the follow-up UL transmission. As the required decoding SINR for PRACH may be lower than Msg3, </w:t>
      </w:r>
      <w:r w:rsidR="00CF288B">
        <w:rPr>
          <w:sz w:val="22"/>
          <w:szCs w:val="22"/>
          <w:lang w:val="en-US" w:eastAsia="zh-CN"/>
        </w:rPr>
        <w:t xml:space="preserve">to </w:t>
      </w:r>
      <w:r>
        <w:rPr>
          <w:sz w:val="22"/>
          <w:szCs w:val="22"/>
          <w:lang w:val="en-US" w:eastAsia="zh-CN"/>
        </w:rPr>
        <w:t xml:space="preserve">re-use the </w:t>
      </w:r>
      <w:proofErr w:type="gramStart"/>
      <w:r>
        <w:rPr>
          <w:sz w:val="22"/>
          <w:szCs w:val="22"/>
          <w:lang w:val="en-US" w:eastAsia="zh-CN"/>
        </w:rPr>
        <w:t>Tx</w:t>
      </w:r>
      <w:proofErr w:type="gramEnd"/>
      <w:r>
        <w:rPr>
          <w:sz w:val="22"/>
          <w:szCs w:val="22"/>
          <w:lang w:val="en-US" w:eastAsia="zh-CN"/>
        </w:rPr>
        <w:t xml:space="preserve"> beam in PRACH may not be able to </w:t>
      </w:r>
      <w:r w:rsidR="00CF288B">
        <w:rPr>
          <w:sz w:val="22"/>
          <w:szCs w:val="22"/>
          <w:lang w:val="en-US" w:eastAsia="zh-CN"/>
        </w:rPr>
        <w:t>get</w:t>
      </w:r>
      <w:r>
        <w:rPr>
          <w:sz w:val="22"/>
          <w:szCs w:val="22"/>
          <w:lang w:val="en-US" w:eastAsia="zh-CN"/>
        </w:rPr>
        <w:t xml:space="preserve"> the Msg3 </w:t>
      </w:r>
      <w:r w:rsidR="00CF288B">
        <w:rPr>
          <w:sz w:val="22"/>
          <w:szCs w:val="22"/>
          <w:lang w:val="en-US" w:eastAsia="zh-CN"/>
        </w:rPr>
        <w:t xml:space="preserve">received </w:t>
      </w:r>
      <w:r>
        <w:rPr>
          <w:sz w:val="22"/>
          <w:szCs w:val="22"/>
          <w:lang w:val="en-US" w:eastAsia="zh-CN"/>
        </w:rPr>
        <w:t xml:space="preserve">successfully. </w:t>
      </w:r>
    </w:p>
    <w:p w14:paraId="11BA18E6" w14:textId="7D77CFE7" w:rsidR="00F92FEC" w:rsidRDefault="00F92FEC" w:rsidP="00467B22">
      <w:pPr>
        <w:ind w:firstLine="284"/>
        <w:jc w:val="both"/>
        <w:rPr>
          <w:sz w:val="22"/>
          <w:szCs w:val="22"/>
          <w:lang w:val="en-US" w:eastAsia="zh-CN"/>
        </w:rPr>
      </w:pPr>
      <w:r>
        <w:rPr>
          <w:sz w:val="22"/>
          <w:szCs w:val="22"/>
          <w:lang w:val="en-US" w:eastAsia="zh-CN"/>
        </w:rPr>
        <w:t xml:space="preserve">For option 3, the gNodeB could only know whether the UL beam management P-3 should be involved after receiving the UE capability reporting. Then for the messages transmitted before the UE capability reporting, the gNodeB may have to let the UE decide which </w:t>
      </w:r>
      <w:proofErr w:type="gramStart"/>
      <w:r>
        <w:rPr>
          <w:sz w:val="22"/>
          <w:szCs w:val="22"/>
          <w:lang w:val="en-US" w:eastAsia="zh-CN"/>
        </w:rPr>
        <w:t>Tx</w:t>
      </w:r>
      <w:proofErr w:type="gramEnd"/>
      <w:r>
        <w:rPr>
          <w:sz w:val="22"/>
          <w:szCs w:val="22"/>
          <w:lang w:val="en-US" w:eastAsia="zh-CN"/>
        </w:rPr>
        <w:t xml:space="preserve"> beam to be used. One possible way is that the UE could always use the </w:t>
      </w:r>
      <w:proofErr w:type="gramStart"/>
      <w:r>
        <w:rPr>
          <w:sz w:val="22"/>
          <w:szCs w:val="22"/>
          <w:lang w:val="en-US" w:eastAsia="zh-CN"/>
        </w:rPr>
        <w:t>Tx</w:t>
      </w:r>
      <w:proofErr w:type="gramEnd"/>
      <w:r>
        <w:rPr>
          <w:sz w:val="22"/>
          <w:szCs w:val="22"/>
          <w:lang w:val="en-US" w:eastAsia="zh-CN"/>
        </w:rPr>
        <w:t xml:space="preserve"> beam in Msg1 to transmit all the UL messages before UE capability reporting is done. As the decoding SINR for PRACH and Msg3 may be lower than the follow-up messages, some of the follow-up messages may not be received correctly. Then the latency of initial access may be increased.</w:t>
      </w:r>
      <w:bookmarkStart w:id="0" w:name="_GoBack"/>
      <w:bookmarkEnd w:id="0"/>
    </w:p>
    <w:p w14:paraId="326F936F" w14:textId="508EC77F" w:rsidR="00F92FEC" w:rsidRDefault="00363154" w:rsidP="00467B22">
      <w:pPr>
        <w:ind w:firstLine="284"/>
        <w:jc w:val="both"/>
        <w:rPr>
          <w:sz w:val="22"/>
          <w:szCs w:val="22"/>
          <w:lang w:val="en-US" w:eastAsia="zh-CN"/>
        </w:rPr>
      </w:pPr>
      <w:r>
        <w:rPr>
          <w:sz w:val="22"/>
          <w:szCs w:val="22"/>
          <w:lang w:val="en-US" w:eastAsia="zh-CN"/>
        </w:rPr>
        <w:t>H</w:t>
      </w:r>
      <w:r>
        <w:rPr>
          <w:rFonts w:hint="eastAsia"/>
          <w:sz w:val="22"/>
          <w:szCs w:val="22"/>
          <w:lang w:val="en-US" w:eastAsia="zh-CN"/>
        </w:rPr>
        <w:t xml:space="preserve">ence </w:t>
      </w:r>
      <w:r>
        <w:rPr>
          <w:sz w:val="22"/>
          <w:szCs w:val="22"/>
          <w:lang w:val="en-US" w:eastAsia="zh-CN"/>
        </w:rPr>
        <w:t xml:space="preserve">in general at least one of the 3 options should be supported, but it could be better to let the gNodeB know earlier that whether the UE has the ability of beam correspondence so that the gNodeB could schedule the UL beam management P-3 to find a good </w:t>
      </w:r>
      <w:proofErr w:type="gramStart"/>
      <w:r>
        <w:rPr>
          <w:sz w:val="22"/>
          <w:szCs w:val="22"/>
          <w:lang w:val="en-US" w:eastAsia="zh-CN"/>
        </w:rPr>
        <w:t>Tx</w:t>
      </w:r>
      <w:proofErr w:type="gramEnd"/>
      <w:r>
        <w:rPr>
          <w:sz w:val="22"/>
          <w:szCs w:val="22"/>
          <w:lang w:val="en-US" w:eastAsia="zh-CN"/>
        </w:rPr>
        <w:t xml:space="preserve"> beam to accomplish the follow-up initial access related procedures.</w:t>
      </w:r>
    </w:p>
    <w:p w14:paraId="108832F9" w14:textId="0DE6C66E" w:rsidR="00363154" w:rsidRPr="00363154" w:rsidRDefault="00363154" w:rsidP="00467B22">
      <w:pPr>
        <w:ind w:firstLine="284"/>
        <w:jc w:val="both"/>
        <w:rPr>
          <w:b/>
          <w:i/>
          <w:sz w:val="22"/>
          <w:szCs w:val="22"/>
          <w:lang w:val="en-US" w:eastAsia="zh-CN"/>
        </w:rPr>
      </w:pPr>
      <w:r w:rsidRPr="00363154">
        <w:rPr>
          <w:b/>
          <w:i/>
          <w:sz w:val="22"/>
          <w:szCs w:val="22"/>
          <w:lang w:val="en-US" w:eastAsia="zh-CN"/>
        </w:rPr>
        <w:t xml:space="preserve">Proposal 2: </w:t>
      </w:r>
      <w:r>
        <w:rPr>
          <w:b/>
          <w:i/>
          <w:sz w:val="22"/>
          <w:szCs w:val="22"/>
          <w:lang w:val="en-US" w:eastAsia="zh-CN"/>
        </w:rPr>
        <w:t xml:space="preserve">the decoding performance for initial access should be taken into account to determine when to report the UE’s beam correspondence, </w:t>
      </w:r>
      <w:r w:rsidRPr="00363154">
        <w:rPr>
          <w:b/>
          <w:i/>
          <w:sz w:val="22"/>
          <w:szCs w:val="22"/>
          <w:lang w:val="en-US" w:eastAsia="zh-CN"/>
        </w:rPr>
        <w:t>at least one of the following options should be supported for UE beam correspondence reporting:</w:t>
      </w:r>
    </w:p>
    <w:p w14:paraId="7FED3844" w14:textId="77777777" w:rsidR="00363154" w:rsidRPr="00363154" w:rsidRDefault="00363154" w:rsidP="000D1BF5">
      <w:pPr>
        <w:pStyle w:val="ListParagraph"/>
        <w:numPr>
          <w:ilvl w:val="0"/>
          <w:numId w:val="34"/>
        </w:numPr>
        <w:ind w:firstLine="284"/>
        <w:jc w:val="both"/>
        <w:rPr>
          <w:b/>
          <w:i/>
          <w:lang w:eastAsia="zh-CN"/>
        </w:rPr>
      </w:pPr>
      <w:r w:rsidRPr="00363154">
        <w:rPr>
          <w:b/>
          <w:i/>
          <w:lang w:eastAsia="zh-CN"/>
        </w:rPr>
        <w:t>Option 1: transmitted in Msg1</w:t>
      </w:r>
    </w:p>
    <w:p w14:paraId="628ED80E" w14:textId="77777777" w:rsidR="00363154" w:rsidRPr="00363154" w:rsidRDefault="00363154" w:rsidP="004F4BC9">
      <w:pPr>
        <w:pStyle w:val="ListParagraph"/>
        <w:numPr>
          <w:ilvl w:val="0"/>
          <w:numId w:val="34"/>
        </w:numPr>
        <w:ind w:firstLine="284"/>
        <w:jc w:val="both"/>
        <w:rPr>
          <w:b/>
          <w:i/>
          <w:lang w:eastAsia="zh-CN"/>
        </w:rPr>
      </w:pPr>
      <w:r w:rsidRPr="00363154">
        <w:rPr>
          <w:b/>
          <w:i/>
          <w:lang w:eastAsia="zh-CN"/>
        </w:rPr>
        <w:lastRenderedPageBreak/>
        <w:t>Option 2: transmitted in Msg3</w:t>
      </w:r>
    </w:p>
    <w:p w14:paraId="62C1AADD" w14:textId="1D03836E" w:rsidR="00363154" w:rsidRPr="00363154" w:rsidRDefault="00363154" w:rsidP="004F4BC9">
      <w:pPr>
        <w:pStyle w:val="ListParagraph"/>
        <w:numPr>
          <w:ilvl w:val="0"/>
          <w:numId w:val="34"/>
        </w:numPr>
        <w:ind w:firstLine="284"/>
        <w:jc w:val="both"/>
        <w:rPr>
          <w:b/>
          <w:i/>
          <w:lang w:eastAsia="zh-CN"/>
        </w:rPr>
      </w:pPr>
      <w:r w:rsidRPr="00363154">
        <w:rPr>
          <w:b/>
          <w:i/>
          <w:lang w:eastAsia="zh-CN"/>
        </w:rPr>
        <w:t>Option 3: transmitted in UE capability reporting procedure</w:t>
      </w:r>
    </w:p>
    <w:p w14:paraId="1D9D500B" w14:textId="2AD5CD7B" w:rsidR="00FB3F84" w:rsidRPr="00E861AD" w:rsidRDefault="00E861AD" w:rsidP="00E861AD">
      <w:pPr>
        <w:ind w:firstLine="284"/>
        <w:jc w:val="both"/>
        <w:rPr>
          <w:b/>
          <w:i/>
          <w:sz w:val="22"/>
          <w:szCs w:val="22"/>
          <w:lang w:val="en-US" w:eastAsia="zh-CN"/>
        </w:rPr>
      </w:pPr>
      <w:r w:rsidRPr="00E861AD">
        <w:rPr>
          <w:b/>
          <w:i/>
          <w:sz w:val="22"/>
          <w:szCs w:val="22"/>
          <w:lang w:val="en-US" w:eastAsia="zh-CN"/>
        </w:rPr>
        <w:t xml:space="preserve"> </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B6DFB6C"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740AB7">
        <w:rPr>
          <w:sz w:val="22"/>
          <w:szCs w:val="22"/>
          <w:lang w:eastAsia="zh-CN"/>
        </w:rPr>
        <w:t>beam correspondence</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the following proposals.</w:t>
      </w:r>
    </w:p>
    <w:p w14:paraId="33B70ED9" w14:textId="77777777" w:rsidR="00363154" w:rsidRPr="000E5ACA" w:rsidRDefault="00363154" w:rsidP="00363154">
      <w:pPr>
        <w:ind w:firstLine="284"/>
        <w:jc w:val="both"/>
        <w:rPr>
          <w:b/>
          <w:i/>
          <w:sz w:val="22"/>
          <w:szCs w:val="22"/>
          <w:lang w:val="en-US" w:eastAsia="zh-CN"/>
        </w:rPr>
      </w:pPr>
      <w:r w:rsidRPr="000E5ACA">
        <w:rPr>
          <w:b/>
          <w:i/>
          <w:sz w:val="22"/>
          <w:szCs w:val="22"/>
          <w:lang w:val="en-US" w:eastAsia="zh-CN"/>
        </w:rPr>
        <w:t>Proposal 1: the UE’s antenna structure should be taken into account when reporting the capability of beam correspondence.</w:t>
      </w:r>
    </w:p>
    <w:p w14:paraId="79A9A076" w14:textId="77777777" w:rsidR="00CF288B" w:rsidRPr="00363154" w:rsidRDefault="00CF288B" w:rsidP="00CF288B">
      <w:pPr>
        <w:ind w:firstLine="284"/>
        <w:jc w:val="both"/>
        <w:rPr>
          <w:b/>
          <w:i/>
          <w:sz w:val="22"/>
          <w:szCs w:val="22"/>
          <w:lang w:val="en-US" w:eastAsia="zh-CN"/>
        </w:rPr>
      </w:pPr>
      <w:r w:rsidRPr="00363154">
        <w:rPr>
          <w:b/>
          <w:i/>
          <w:sz w:val="22"/>
          <w:szCs w:val="22"/>
          <w:lang w:val="en-US" w:eastAsia="zh-CN"/>
        </w:rPr>
        <w:t xml:space="preserve">Proposal 2: </w:t>
      </w:r>
      <w:r>
        <w:rPr>
          <w:b/>
          <w:i/>
          <w:sz w:val="22"/>
          <w:szCs w:val="22"/>
          <w:lang w:val="en-US" w:eastAsia="zh-CN"/>
        </w:rPr>
        <w:t xml:space="preserve">the decoding performance for initial access should be taken into account to determine when to report the UE’s beam correspondence, </w:t>
      </w:r>
      <w:r w:rsidRPr="00363154">
        <w:rPr>
          <w:b/>
          <w:i/>
          <w:sz w:val="22"/>
          <w:szCs w:val="22"/>
          <w:lang w:val="en-US" w:eastAsia="zh-CN"/>
        </w:rPr>
        <w:t>at least one of the following options should be supported for UE beam correspondence reporting:</w:t>
      </w:r>
    </w:p>
    <w:p w14:paraId="7B7DBB36" w14:textId="77777777" w:rsidR="00CF288B" w:rsidRPr="00363154" w:rsidRDefault="00CF288B" w:rsidP="00CF288B">
      <w:pPr>
        <w:pStyle w:val="ListParagraph"/>
        <w:numPr>
          <w:ilvl w:val="0"/>
          <w:numId w:val="34"/>
        </w:numPr>
        <w:ind w:firstLine="284"/>
        <w:jc w:val="both"/>
        <w:rPr>
          <w:b/>
          <w:i/>
          <w:lang w:eastAsia="zh-CN"/>
        </w:rPr>
      </w:pPr>
      <w:r w:rsidRPr="00363154">
        <w:rPr>
          <w:b/>
          <w:i/>
          <w:lang w:eastAsia="zh-CN"/>
        </w:rPr>
        <w:t>Option 1: transmitted in Msg1</w:t>
      </w:r>
    </w:p>
    <w:p w14:paraId="2183F9A2" w14:textId="77777777" w:rsidR="00CF288B" w:rsidRDefault="00CF288B" w:rsidP="00CF288B">
      <w:pPr>
        <w:pStyle w:val="ListParagraph"/>
        <w:numPr>
          <w:ilvl w:val="0"/>
          <w:numId w:val="34"/>
        </w:numPr>
        <w:ind w:firstLine="284"/>
        <w:jc w:val="both"/>
        <w:rPr>
          <w:b/>
          <w:i/>
          <w:lang w:eastAsia="zh-CN"/>
        </w:rPr>
      </w:pPr>
      <w:r w:rsidRPr="00363154">
        <w:rPr>
          <w:b/>
          <w:i/>
          <w:lang w:eastAsia="zh-CN"/>
        </w:rPr>
        <w:t>Option 2: transmitted in Msg3</w:t>
      </w:r>
    </w:p>
    <w:p w14:paraId="03D49D7B" w14:textId="34330A79" w:rsidR="00CF288B" w:rsidRPr="00CF288B" w:rsidRDefault="00CF288B" w:rsidP="00CF288B">
      <w:pPr>
        <w:pStyle w:val="ListParagraph"/>
        <w:numPr>
          <w:ilvl w:val="0"/>
          <w:numId w:val="34"/>
        </w:numPr>
        <w:ind w:firstLine="284"/>
        <w:jc w:val="both"/>
        <w:rPr>
          <w:rFonts w:hint="eastAsia"/>
          <w:b/>
          <w:i/>
          <w:lang w:eastAsia="zh-CN"/>
        </w:rPr>
      </w:pPr>
      <w:r w:rsidRPr="00363154">
        <w:rPr>
          <w:b/>
          <w:i/>
          <w:lang w:eastAsia="zh-CN"/>
        </w:rPr>
        <w:t>Option 3: transmitted in UE capability reporting procedure</w:t>
      </w:r>
    </w:p>
    <w:p w14:paraId="6E5059DC" w14:textId="2525A2AB" w:rsidR="002A4EFE" w:rsidRPr="00534451" w:rsidRDefault="002A4EFE" w:rsidP="00CF288B">
      <w:pPr>
        <w:pStyle w:val="Heading1"/>
        <w:pBdr>
          <w:top w:val="single" w:sz="12" w:space="4" w:color="auto"/>
        </w:pBdr>
        <w:ind w:left="0" w:firstLine="0"/>
        <w:rPr>
          <w:rFonts w:cs="Arial"/>
          <w:lang w:val="en-US" w:eastAsia="zh-CN"/>
        </w:rPr>
      </w:pPr>
      <w:r w:rsidRPr="00FF2077">
        <w:rPr>
          <w:rFonts w:cs="Arial"/>
          <w:lang w:val="en-US"/>
        </w:rPr>
        <w:t>References</w:t>
      </w:r>
    </w:p>
    <w:p w14:paraId="0EE7A8C7" w14:textId="66D155B2" w:rsidR="005D08C2" w:rsidRDefault="008537CC" w:rsidP="005D08C2">
      <w:pPr>
        <w:numPr>
          <w:ilvl w:val="0"/>
          <w:numId w:val="2"/>
        </w:numPr>
        <w:rPr>
          <w:sz w:val="22"/>
          <w:szCs w:val="22"/>
          <w:lang w:val="en-US" w:eastAsia="zh-CN"/>
        </w:rPr>
      </w:pPr>
      <w:r>
        <w:rPr>
          <w:sz w:val="22"/>
          <w:szCs w:val="22"/>
          <w:lang w:val="en-US" w:eastAsia="zh-CN"/>
        </w:rPr>
        <w:t>Chairman Notes RAN1 NR Ad-Hoc</w:t>
      </w:r>
    </w:p>
    <w:p w14:paraId="715FBF58" w14:textId="403C6F81" w:rsidR="00D21AD7" w:rsidRPr="00D21AD7" w:rsidRDefault="00D21AD7" w:rsidP="00D21AD7">
      <w:pPr>
        <w:numPr>
          <w:ilvl w:val="0"/>
          <w:numId w:val="2"/>
        </w:numPr>
        <w:rPr>
          <w:rFonts w:hint="eastAsia"/>
          <w:sz w:val="22"/>
          <w:szCs w:val="22"/>
          <w:lang w:val="en-US" w:eastAsia="zh-CN"/>
        </w:rPr>
      </w:pPr>
      <w:r>
        <w:rPr>
          <w:sz w:val="22"/>
          <w:szCs w:val="22"/>
          <w:lang w:val="en-US" w:eastAsia="zh-CN"/>
        </w:rPr>
        <w:t xml:space="preserve">Chairman Notes RAN1 </w:t>
      </w:r>
      <w:r>
        <w:rPr>
          <w:sz w:val="22"/>
          <w:szCs w:val="22"/>
          <w:lang w:val="en-US" w:eastAsia="zh-CN"/>
        </w:rPr>
        <w:t>#</w:t>
      </w:r>
      <w:r w:rsidR="00363154">
        <w:rPr>
          <w:sz w:val="22"/>
          <w:szCs w:val="22"/>
          <w:lang w:val="en-US" w:eastAsia="zh-CN"/>
        </w:rPr>
        <w:t>86</w:t>
      </w:r>
    </w:p>
    <w:sectPr w:rsidR="00D21AD7" w:rsidRPr="00D21AD7"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C70DD" w14:textId="77777777" w:rsidR="00761F2A" w:rsidRDefault="00761F2A">
      <w:r>
        <w:separator/>
      </w:r>
    </w:p>
  </w:endnote>
  <w:endnote w:type="continuationSeparator" w:id="0">
    <w:p w14:paraId="66C0929E" w14:textId="77777777" w:rsidR="00761F2A" w:rsidRDefault="0076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28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88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3B4BB" w14:textId="77777777" w:rsidR="00761F2A" w:rsidRDefault="00761F2A">
      <w:r>
        <w:separator/>
      </w:r>
    </w:p>
  </w:footnote>
  <w:footnote w:type="continuationSeparator" w:id="0">
    <w:p w14:paraId="4951BBC5" w14:textId="77777777" w:rsidR="00761F2A" w:rsidRDefault="00761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9A64C1"/>
    <w:multiLevelType w:val="hybridMultilevel"/>
    <w:tmpl w:val="F6C0A7B4"/>
    <w:lvl w:ilvl="0" w:tplc="E870B22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1A6E4F"/>
    <w:multiLevelType w:val="hybridMultilevel"/>
    <w:tmpl w:val="D564EBD6"/>
    <w:lvl w:ilvl="0" w:tplc="F6DE3358">
      <w:numFmt w:val="bullet"/>
      <w:lvlText w:val="-"/>
      <w:lvlJc w:val="left"/>
      <w:pPr>
        <w:ind w:left="704" w:hanging="420"/>
      </w:pPr>
      <w:rPr>
        <w:rFonts w:ascii="Times New Roman" w:eastAsia="MS Mincho" w:hAnsi="Times New Roman" w:cs="Times New Roman" w:hint="default"/>
      </w:rPr>
    </w:lvl>
    <w:lvl w:ilvl="1" w:tplc="A0846D4E">
      <w:start w:val="1"/>
      <w:numFmt w:val="bullet"/>
      <w:lvlText w:val="•"/>
      <w:lvlJc w:val="left"/>
      <w:pPr>
        <w:ind w:left="1124" w:hanging="420"/>
      </w:pPr>
      <w:rPr>
        <w:rFonts w:ascii="MS PGothic" w:hAnsi="MS PGothic"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CB182E"/>
    <w:multiLevelType w:val="hybridMultilevel"/>
    <w:tmpl w:val="C2C6A166"/>
    <w:lvl w:ilvl="0" w:tplc="E870B222">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4"/>
  </w:num>
  <w:num w:numId="2">
    <w:abstractNumId w:val="11"/>
  </w:num>
  <w:num w:numId="3">
    <w:abstractNumId w:val="33"/>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1"/>
  </w:num>
  <w:num w:numId="7">
    <w:abstractNumId w:val="29"/>
  </w:num>
  <w:num w:numId="8">
    <w:abstractNumId w:val="16"/>
  </w:num>
  <w:num w:numId="9">
    <w:abstractNumId w:val="6"/>
  </w:num>
  <w:num w:numId="10">
    <w:abstractNumId w:val="3"/>
  </w:num>
  <w:num w:numId="11">
    <w:abstractNumId w:val="26"/>
  </w:num>
  <w:num w:numId="12">
    <w:abstractNumId w:val="8"/>
  </w:num>
  <w:num w:numId="13">
    <w:abstractNumId w:val="18"/>
  </w:num>
  <w:num w:numId="14">
    <w:abstractNumId w:val="24"/>
  </w:num>
  <w:num w:numId="15">
    <w:abstractNumId w:val="27"/>
  </w:num>
  <w:num w:numId="16">
    <w:abstractNumId w:val="32"/>
  </w:num>
  <w:num w:numId="17">
    <w:abstractNumId w:val="30"/>
  </w:num>
  <w:num w:numId="18">
    <w:abstractNumId w:val="2"/>
  </w:num>
  <w:num w:numId="19">
    <w:abstractNumId w:val="15"/>
  </w:num>
  <w:num w:numId="20">
    <w:abstractNumId w:val="22"/>
  </w:num>
  <w:num w:numId="21">
    <w:abstractNumId w:val="1"/>
  </w:num>
  <w:num w:numId="22">
    <w:abstractNumId w:val="10"/>
  </w:num>
  <w:num w:numId="23">
    <w:abstractNumId w:val="7"/>
  </w:num>
  <w:num w:numId="24">
    <w:abstractNumId w:val="25"/>
  </w:num>
  <w:num w:numId="25">
    <w:abstractNumId w:val="34"/>
  </w:num>
  <w:num w:numId="26">
    <w:abstractNumId w:val="4"/>
  </w:num>
  <w:num w:numId="27">
    <w:abstractNumId w:val="12"/>
  </w:num>
  <w:num w:numId="28">
    <w:abstractNumId w:val="19"/>
  </w:num>
  <w:num w:numId="29">
    <w:abstractNumId w:val="5"/>
  </w:num>
  <w:num w:numId="30">
    <w:abstractNumId w:val="28"/>
  </w:num>
  <w:num w:numId="31">
    <w:abstractNumId w:val="20"/>
  </w:num>
  <w:num w:numId="32">
    <w:abstractNumId w:val="17"/>
  </w:num>
  <w:num w:numId="33">
    <w:abstractNumId w:val="13"/>
  </w:num>
  <w:num w:numId="3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A48"/>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ACA"/>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154"/>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7DB"/>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C29"/>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B7"/>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1F2A"/>
    <w:rsid w:val="0076200C"/>
    <w:rsid w:val="007624B0"/>
    <w:rsid w:val="007624B9"/>
    <w:rsid w:val="00762924"/>
    <w:rsid w:val="0076295C"/>
    <w:rsid w:val="00762A84"/>
    <w:rsid w:val="0076303A"/>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C07"/>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21C5"/>
    <w:rsid w:val="00852338"/>
    <w:rsid w:val="00852F3B"/>
    <w:rsid w:val="00853506"/>
    <w:rsid w:val="00853657"/>
    <w:rsid w:val="008537CC"/>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35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2D8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1C"/>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46A"/>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88B"/>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AD7"/>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80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896"/>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664"/>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FEC"/>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98C"/>
    <w:rsid w:val="00FB15D5"/>
    <w:rsid w:val="00FB1694"/>
    <w:rsid w:val="00FB18E8"/>
    <w:rsid w:val="00FB19D8"/>
    <w:rsid w:val="00FB22E5"/>
    <w:rsid w:val="00FB2803"/>
    <w:rsid w:val="00FB2864"/>
    <w:rsid w:val="00FB2F2C"/>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0B187-0B66-4D17-830A-E1C50F987E35}">
  <ds:schemaRefs>
    <ds:schemaRef ds:uri="http://schemas.microsoft.com/sharepoint/v3/contenttype/forms"/>
  </ds:schemaRefs>
</ds:datastoreItem>
</file>

<file path=customXml/itemProps2.xml><?xml version="1.0" encoding="utf-8"?>
<ds:datastoreItem xmlns:ds="http://schemas.openxmlformats.org/officeDocument/2006/customXml" ds:itemID="{C77FA030-668F-48F4-B8E8-6A7080FBBFA9}">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217AEED-50AA-4DAD-A220-257EE3A5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41928E-CCCF-47B0-87E1-1FC256C03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1224</Words>
  <Characters>6267</Characters>
  <Application>Microsoft Office Word</Application>
  <DocSecurity>0</DocSecurity>
  <Lines>106</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7540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8</cp:revision>
  <cp:lastPrinted>2011-11-09T07:49:00Z</cp:lastPrinted>
  <dcterms:created xsi:type="dcterms:W3CDTF">2017-02-03T04:51:00Z</dcterms:created>
  <dcterms:modified xsi:type="dcterms:W3CDTF">2017-02-03T06:52:00Z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cc359915-6cbf-4028-ae10-845815f0adb9</vt:lpwstr>
  </property>
  <property fmtid="{D5CDD505-2E9C-101B-9397-08002B2CF9AE}" pid="10" name="CTP_BU">
    <vt:lpwstr>NEXT GEN AND STANDARDS GROUP</vt:lpwstr>
  </property>
  <property fmtid="{D5CDD505-2E9C-101B-9397-08002B2CF9AE}" pid="11" name="CTP_TimeStamp">
    <vt:lpwstr>2017-02-03 06:52:52Z</vt:lpwstr>
  </property>
  <property fmtid="{D5CDD505-2E9C-101B-9397-08002B2CF9AE}" pid="12" name="ContentTypeId">
    <vt:lpwstr>0x010100E7203326D341CE4C85D524438E4584D9</vt:lpwstr>
  </property>
  <property fmtid="{D5CDD505-2E9C-101B-9397-08002B2CF9AE}" pid="13" name="CTPClassification">
    <vt:lpwstr>CTP_IC</vt:lpwstr>
  </property>
</Properties>
</file>